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200" w:after="100" w:line="240" w:lineRule="auto"/>
      </w:pPr>
      <w:r>
        <w:rPr>
          <w:rFonts w:ascii="Calibri" w:hAnsi="Calibri"/>
          <w:b/>
          <w:i w:val="0"/>
          <w:color w:val="01696F"/>
          <w:sz w:val="17"/>
        </w:rPr>
        <w:t>BUSINESS PILOT INTAKE</w:t>
      </w:r>
    </w:p>
    <w:p>
      <w:pPr>
        <w:keepNext w:val="0"/>
        <w:spacing w:before="0" w:after="60" w:line="240" w:lineRule="auto"/>
      </w:pPr>
      <w:r>
        <w:rPr>
          <w:rFonts w:ascii="Calibri" w:hAnsi="Calibri"/>
          <w:b/>
          <w:i w:val="0"/>
          <w:color w:val="0F1C2E"/>
          <w:sz w:val="52"/>
        </w:rPr>
        <w:t>Scope a ProcessGround Business Pilot</w:t>
      </w:r>
    </w:p>
    <w:p>
      <w:pPr>
        <w:keepNext w:val="0"/>
        <w:spacing w:before="0" w:after="200" w:line="252" w:lineRule="auto"/>
      </w:pPr>
      <w:r>
        <w:rPr>
          <w:rFonts w:ascii="Calibri" w:hAnsi="Calibri"/>
          <w:b w:val="0"/>
          <w:i/>
          <w:color w:val="5F6C78"/>
          <w:sz w:val="23"/>
        </w:rPr>
        <w:t>A focused first step for understanding your process-mapping needs and deciding whether a pilot makes sense.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952"/>
        <w:gridCol w:w="3024"/>
        <w:gridCol w:w="3384"/>
      </w:tblGrid>
      <w:tr>
        <w:tc>
          <w:tcPr>
            <w:tcW w:type="dxa" w:w="2952"/>
            <w:shd w:fill="0F1C2E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Calibri" w:hAnsi="Calibri"/>
                <w:b/>
                <w:i w:val="0"/>
                <w:color w:val="FFFFFF"/>
                <w:sz w:val="14"/>
              </w:rPr>
              <w:t>ESTIMATED TIME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FFFFFF"/>
                <w:sz w:val="19"/>
              </w:rPr>
              <w:t>8-10 minutes</w:t>
            </w:r>
          </w:p>
        </w:tc>
        <w:tc>
          <w:tcPr>
            <w:tcW w:type="dxa" w:w="3024"/>
            <w:shd w:fill="E7F1EE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4"/>
              </w:rPr>
              <w:t>FORMAT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F1C2E"/>
                <w:sz w:val="19"/>
              </w:rPr>
              <w:t>Editable Word document</w:t>
            </w:r>
          </w:p>
        </w:tc>
        <w:tc>
          <w:tcPr>
            <w:tcW w:type="dxa" w:w="3384"/>
            <w:shd w:fill="E7F1EE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4"/>
              </w:rPr>
              <w:t>SUBMIT TO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/>
                <w:i w:val="0"/>
                <w:color w:val="0F1C2E"/>
                <w:sz w:val="19"/>
              </w:rPr>
              <w:t>kevin@processground.com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FF3CC"/>
            <w:tcBorders>
              <w:top w:val="single" w:sz="9" w:color="9A6A00"/>
              <w:left w:val="single" w:sz="9" w:color="9A6A00"/>
              <w:bottom w:val="single" w:sz="9" w:color="9A6A00"/>
              <w:right w:val="single" w:sz="9" w:color="9A6A00"/>
              <w:insideH w:val="single" w:sz="9" w:color="9A6A00"/>
              <w:insideV w:val="single" w:sz="9" w:color="9A6A00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Calibri" w:hAnsi="Calibri"/>
                <w:b/>
                <w:i w:val="0"/>
                <w:color w:val="9A6A00"/>
                <w:sz w:val="16"/>
              </w:rPr>
              <w:t>RESPONSES ONLY</w:t>
            </w:r>
          </w:p>
          <w:p>
            <w:pPr>
              <w:keepNext w:val="0"/>
              <w:spacing w:before="0" w:after="0" w:line="252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Do not attach process documents, risk/control files, credentials, regulated data, or other sensitive material. Describe your files instead; sanitized samples may be requested separately after qualification.</w:t>
            </w:r>
          </w:p>
        </w:tc>
      </w:tr>
    </w:tbl>
    <w:p>
      <w:pPr>
        <w:keepNext w:val="0"/>
        <w:spacing w:before="0" w:after="4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40" w:lineRule="auto"/>
      </w:pPr>
      <w:r>
        <w:rPr>
          <w:rFonts w:ascii="Calibri" w:hAnsi="Calibri"/>
          <w:b/>
          <w:i w:val="0"/>
          <w:color w:val="0F1C2E"/>
          <w:sz w:val="32"/>
        </w:rPr>
        <w:t>01  Organization and contact</w:t>
      </w:r>
    </w:p>
    <w:p>
      <w:pPr>
        <w:keepNext/>
        <w:spacing w:before="0" w:after="160" w:line="240" w:lineRule="auto"/>
      </w:pPr>
      <w:r>
        <w:rPr>
          <w:rFonts w:ascii="Calibri" w:hAnsi="Calibri"/>
          <w:b w:val="0"/>
          <w:i w:val="0"/>
          <w:color w:val="5F6C78"/>
          <w:sz w:val="17"/>
        </w:rPr>
        <w:t>Identify the organization and the person leading the evaluation.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ORG-01  Organization name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ORG-02  Industry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  <w:tr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ORG-03  Primary contact and title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ORG-04  Email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  <w:tr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ORG-05  Departments in scope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ORG-06  Executive sponsor / decision-maker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40" w:lineRule="auto"/>
      </w:pPr>
      <w:r>
        <w:rPr>
          <w:rFonts w:ascii="Calibri" w:hAnsi="Calibri"/>
          <w:b/>
          <w:i w:val="0"/>
          <w:color w:val="0F1C2E"/>
          <w:sz w:val="32"/>
        </w:rPr>
        <w:t>02  Business need</w:t>
      </w:r>
    </w:p>
    <w:p>
      <w:pPr>
        <w:keepNext/>
        <w:spacing w:before="0" w:after="160" w:line="240" w:lineRule="auto"/>
      </w:pPr>
      <w:r>
        <w:rPr>
          <w:rFonts w:ascii="Calibri" w:hAnsi="Calibri"/>
          <w:b w:val="0"/>
          <w:i w:val="0"/>
          <w:color w:val="5F6C78"/>
          <w:sz w:val="17"/>
        </w:rPr>
        <w:t>Give us the clearest possible picture of the problem and desired result.</w:t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NEED-01</w:t>
      </w:r>
      <w:r>
        <w:rPr>
          <w:rFonts w:ascii="Calibri" w:hAnsi="Calibri"/>
          <w:b/>
          <w:i w:val="0"/>
          <w:color w:val="0F1C2E"/>
          <w:sz w:val="19"/>
        </w:rPr>
        <w:t xml:space="preserve">  How are process diagrams created today, and what is not working well?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90" w:type="dxa"/>
              <w:start w:w="120" w:type="dxa"/>
              <w:bottom w:w="210" w:type="dxa"/>
              <w:end w:w="12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NEED-02</w:t>
      </w:r>
      <w:r>
        <w:rPr>
          <w:rFonts w:ascii="Calibri" w:hAnsi="Calibri"/>
          <w:b/>
          <w:i w:val="0"/>
          <w:color w:val="0F1C2E"/>
          <w:sz w:val="19"/>
        </w:rPr>
        <w:t xml:space="preserve">  Which outcomes matter most? Select up to three.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Reduce time spent building diagrams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Standardize outputs across teams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Improve swimlane and phase accuracy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Connect process maps to risks and controls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Identify potential control gaps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Produce editable client or audit deliverables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NEED-03</w:t>
      </w:r>
      <w:r>
        <w:rPr>
          <w:rFonts w:ascii="Calibri" w:hAnsi="Calibri"/>
          <w:b/>
          <w:i w:val="0"/>
          <w:color w:val="0F1C2E"/>
          <w:sz w:val="19"/>
        </w:rPr>
        <w:t xml:space="preserve">  What are the first processes or use cases you would evaluate?</w:t>
      </w:r>
    </w:p>
    <w:p>
      <w:pPr>
        <w:keepNext/>
        <w:spacing w:before="0" w:after="60" w:line="240" w:lineRule="auto"/>
      </w:pPr>
      <w:r>
        <w:rPr>
          <w:rFonts w:ascii="Calibri" w:hAnsi="Calibri"/>
          <w:b w:val="0"/>
          <w:i/>
          <w:color w:val="5F6C78"/>
          <w:sz w:val="15"/>
        </w:rPr>
        <w:t>Name process families only; do not include confidential details.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90" w:type="dxa"/>
              <w:start w:w="120" w:type="dxa"/>
              <w:bottom w:w="210" w:type="dxa"/>
              <w:end w:w="12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r>
        <w:br w:type="page"/>
      </w:r>
    </w:p>
    <w:p>
      <w:pPr>
        <w:keepNext/>
        <w:spacing w:before="80" w:after="40" w:line="240" w:lineRule="auto"/>
      </w:pPr>
      <w:r>
        <w:rPr>
          <w:rFonts w:ascii="Calibri" w:hAnsi="Calibri"/>
          <w:b/>
          <w:i w:val="0"/>
          <w:color w:val="0F1C2E"/>
          <w:sz w:val="32"/>
        </w:rPr>
        <w:t>03  Source files and deliverables</w:t>
      </w:r>
    </w:p>
    <w:p>
      <w:pPr>
        <w:keepNext/>
        <w:spacing w:before="0" w:after="160" w:line="240" w:lineRule="auto"/>
      </w:pPr>
      <w:r>
        <w:rPr>
          <w:rFonts w:ascii="Calibri" w:hAnsi="Calibri"/>
          <w:b w:val="0"/>
          <w:i w:val="0"/>
          <w:color w:val="5F6C78"/>
          <w:sz w:val="17"/>
        </w:rPr>
        <w:t>Describe what you have and what your users need to receive.</w:t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SRC-01</w:t>
      </w:r>
      <w:r>
        <w:rPr>
          <w:rFonts w:ascii="Calibri" w:hAnsi="Calibri"/>
          <w:b/>
          <w:i w:val="0"/>
          <w:color w:val="0F1C2E"/>
          <w:sz w:val="19"/>
        </w:rPr>
        <w:t xml:space="preserve">  Which process-document formats are available?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DOCX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Born-digital PDF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Scanned PDF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TXT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Other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SRC-02</w:t>
      </w:r>
      <w:r>
        <w:rPr>
          <w:rFonts w:ascii="Calibri" w:hAnsi="Calibri"/>
          <w:b/>
          <w:i w:val="0"/>
          <w:color w:val="0F1C2E"/>
          <w:sz w:val="19"/>
        </w:rPr>
        <w:t xml:space="preserve">  Is structured risk/control data available?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XLSX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CSV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No risk/control file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Varies by process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SRC-03  Typical document length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SRC-04  Primary language(s)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  <w:tr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SRC-05  Files per process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SRC-06  Typical complexity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SRC-07</w:t>
      </w:r>
      <w:r>
        <w:rPr>
          <w:rFonts w:ascii="Calibri" w:hAnsi="Calibri"/>
          <w:b/>
          <w:i w:val="0"/>
          <w:color w:val="0F1C2E"/>
          <w:sz w:val="19"/>
        </w:rPr>
        <w:t xml:space="preserve">  What content commonly appears in the documents?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Narrative paragraphs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Tables / approval matrices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Embedded diagrams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Exceptions in prose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Multiple roles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Appendices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SRC-08</w:t>
      </w:r>
      <w:r>
        <w:rPr>
          <w:rFonts w:ascii="Calibri" w:hAnsi="Calibri"/>
          <w:b/>
          <w:i w:val="0"/>
          <w:color w:val="0F1C2E"/>
          <w:sz w:val="19"/>
        </w:rPr>
        <w:t xml:space="preserve">  What source-quality issues should the pilot test?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90" w:type="dxa"/>
              <w:start w:w="120" w:type="dxa"/>
              <w:bottom w:w="210" w:type="dxa"/>
              <w:end w:w="12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OUT-01</w:t>
      </w:r>
      <w:r>
        <w:rPr>
          <w:rFonts w:ascii="Calibri" w:hAnsi="Calibri"/>
          <w:b/>
          <w:i w:val="0"/>
          <w:color w:val="0F1C2E"/>
          <w:sz w:val="19"/>
        </w:rPr>
        <w:t xml:space="preserve">  Which outputs matter?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Draw.io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Lucidchart import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Microsoft Visio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Visio Data workbook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Process-only flow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Risk-mapped flow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OUT-02</w:t>
      </w:r>
      <w:r>
        <w:rPr>
          <w:rFonts w:ascii="Calibri" w:hAnsi="Calibri"/>
          <w:b/>
          <w:i w:val="0"/>
          <w:color w:val="0F1C2E"/>
          <w:sz w:val="19"/>
        </w:rPr>
        <w:t xml:space="preserve">  List any required templates, branding, terminology, or review conventions.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90" w:type="dxa"/>
              <w:start w:w="120" w:type="dxa"/>
              <w:bottom w:w="210" w:type="dxa"/>
              <w:end w:w="12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40" w:lineRule="auto"/>
      </w:pPr>
      <w:r>
        <w:rPr>
          <w:rFonts w:ascii="Calibri" w:hAnsi="Calibri"/>
          <w:b/>
          <w:i w:val="0"/>
          <w:color w:val="0F1C2E"/>
          <w:sz w:val="32"/>
        </w:rPr>
        <w:t>04  Usage snapshot</w:t>
      </w:r>
    </w:p>
    <w:p>
      <w:pPr>
        <w:keepNext/>
        <w:spacing w:before="0" w:after="160" w:line="240" w:lineRule="auto"/>
      </w:pPr>
      <w:r>
        <w:rPr>
          <w:rFonts w:ascii="Calibri" w:hAnsi="Calibri"/>
          <w:b w:val="0"/>
          <w:i w:val="0"/>
          <w:color w:val="5F6C78"/>
          <w:sz w:val="17"/>
        </w:rPr>
        <w:t>Provide practical estimates; exact forecasts are not required.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USE-01  Expected pilot users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USE-02  Diagrams per month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  <w:tr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USE-03  Current diagram tools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USE-04  Primary reviewers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r>
        <w:br w:type="page"/>
      </w:r>
    </w:p>
    <w:p>
      <w:pPr>
        <w:keepNext/>
        <w:spacing w:before="80" w:after="40" w:line="240" w:lineRule="auto"/>
      </w:pPr>
      <w:r>
        <w:rPr>
          <w:rFonts w:ascii="Calibri" w:hAnsi="Calibri"/>
          <w:b/>
          <w:i w:val="0"/>
          <w:color w:val="0F1C2E"/>
          <w:sz w:val="32"/>
        </w:rPr>
        <w:t>05  Organizational and security needs</w:t>
      </w:r>
    </w:p>
    <w:p>
      <w:pPr>
        <w:keepNext/>
        <w:spacing w:before="0" w:after="160" w:line="240" w:lineRule="auto"/>
      </w:pPr>
      <w:r>
        <w:rPr>
          <w:rFonts w:ascii="Calibri" w:hAnsi="Calibri"/>
          <w:b w:val="0"/>
          <w:i w:val="0"/>
          <w:color w:val="5F6C78"/>
          <w:sz w:val="17"/>
        </w:rPr>
        <w:t>Identify essential pilot requirements, not a full procurement questionnaire.</w:t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ORGREQ-01</w:t>
      </w:r>
      <w:r>
        <w:rPr>
          <w:rFonts w:ascii="Calibri" w:hAnsi="Calibri"/>
          <w:b/>
          <w:i w:val="0"/>
          <w:color w:val="0F1C2E"/>
          <w:sz w:val="19"/>
        </w:rPr>
        <w:t xml:space="preserve">  Which organizational capabilities may be essential?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Pooled usage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Centralized billing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Shared workspace / history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Admin roles / reporting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Usage reporting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Organization branding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SSO / SAML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Audit logs / integrations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None for the pilot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SEC-01</w:t>
      </w:r>
      <w:r>
        <w:rPr>
          <w:rFonts w:ascii="Calibri" w:hAnsi="Calibri"/>
          <w:b/>
          <w:i w:val="0"/>
          <w:color w:val="0F1C2E"/>
          <w:sz w:val="19"/>
        </w:rPr>
        <w:t xml:space="preserve">  Highest data classification expected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Public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Internal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Confidential business information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Restricted / regulated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Not yet known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SEC-02</w:t>
      </w:r>
      <w:r>
        <w:rPr>
          <w:rFonts w:ascii="Calibri" w:hAnsi="Calibri"/>
          <w:b/>
          <w:i w:val="0"/>
          <w:color w:val="0F1C2E"/>
          <w:sz w:val="19"/>
        </w:rPr>
        <w:t xml:space="preserve">  Can prohibited sensitive data be excluded from pilot files?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c>
          <w:tcPr>
            <w:tcW w:type="dxa" w:w="312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Yes</w:t>
            </w:r>
          </w:p>
        </w:tc>
        <w:tc>
          <w:tcPr>
            <w:tcW w:type="dxa" w:w="312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No</w:t>
            </w:r>
          </w:p>
        </w:tc>
        <w:tc>
          <w:tcPr>
            <w:tcW w:type="dxa" w:w="312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Requires internal review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SEC-03</w:t>
      </w:r>
      <w:r>
        <w:rPr>
          <w:rFonts w:ascii="Calibri" w:hAnsi="Calibri"/>
          <w:b/>
          <w:i w:val="0"/>
          <w:color w:val="0F1C2E"/>
          <w:sz w:val="19"/>
        </w:rPr>
        <w:t xml:space="preserve">  Are request-time OpenAI processing and no application file retention acceptable in principle?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Yes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No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Requires AI / security review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Not yet known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SEC-04</w:t>
      </w:r>
      <w:r>
        <w:rPr>
          <w:rFonts w:ascii="Calibri" w:hAnsi="Calibri"/>
          <w:b/>
          <w:i w:val="0"/>
          <w:color w:val="0F1C2E"/>
          <w:sz w:val="19"/>
        </w:rPr>
        <w:t xml:space="preserve">  Which reviews are likely before a pilot?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NDA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Security questionnaire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Privacy / DPA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Legal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Procurement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None known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SEC-05</w:t>
      </w:r>
      <w:r>
        <w:rPr>
          <w:rFonts w:ascii="Calibri" w:hAnsi="Calibri"/>
          <w:b/>
          <w:i w:val="0"/>
          <w:color w:val="0F1C2E"/>
          <w:sz w:val="19"/>
        </w:rPr>
        <w:t xml:space="preserve">  Note any non-negotiable security, privacy, retention, or geographic-processing requirement.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90" w:type="dxa"/>
              <w:start w:w="120" w:type="dxa"/>
              <w:bottom w:w="210" w:type="dxa"/>
              <w:end w:w="12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40" w:lineRule="auto"/>
      </w:pPr>
      <w:r>
        <w:rPr>
          <w:rFonts w:ascii="Calibri" w:hAnsi="Calibri"/>
          <w:b/>
          <w:i w:val="0"/>
          <w:color w:val="0F1C2E"/>
          <w:sz w:val="32"/>
        </w:rPr>
        <w:t>06  Pilot shape</w:t>
      </w:r>
    </w:p>
    <w:p>
      <w:pPr>
        <w:keepNext/>
        <w:spacing w:before="0" w:after="160" w:line="240" w:lineRule="auto"/>
      </w:pPr>
      <w:r>
        <w:rPr>
          <w:rFonts w:ascii="Calibri" w:hAnsi="Calibri"/>
          <w:b w:val="0"/>
          <w:i w:val="0"/>
          <w:color w:val="5F6C78"/>
          <w:sz w:val="17"/>
        </w:rPr>
        <w:t>Define a small evaluation that can produce a clear decision.</w:t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PLT-01</w:t>
      </w:r>
      <w:r>
        <w:rPr>
          <w:rFonts w:ascii="Calibri" w:hAnsi="Calibri"/>
          <w:b/>
          <w:i w:val="0"/>
          <w:color w:val="0F1C2E"/>
          <w:sz w:val="19"/>
        </w:rPr>
        <w:t xml:space="preserve">  Preferred pilot duration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60 days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90 days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Other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Not yet determined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PLT-02  Target start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PLT-03  Estimated generations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r>
        <w:br w:type="page"/>
      </w:r>
    </w:p>
    <w:p>
      <w:pPr>
        <w:keepNext/>
        <w:spacing w:before="80" w:after="40" w:line="240" w:lineRule="auto"/>
      </w:pPr>
      <w:r>
        <w:rPr>
          <w:rFonts w:ascii="Calibri" w:hAnsi="Calibri"/>
          <w:b/>
          <w:i w:val="0"/>
          <w:color w:val="0F1C2E"/>
          <w:sz w:val="32"/>
        </w:rPr>
        <w:t>07  Success, timing, and commercial readiness</w:t>
      </w:r>
    </w:p>
    <w:p>
      <w:pPr>
        <w:keepNext/>
        <w:spacing w:before="0" w:after="160" w:line="240" w:lineRule="auto"/>
      </w:pPr>
      <w:r>
        <w:rPr>
          <w:rFonts w:ascii="Calibri" w:hAnsi="Calibri"/>
          <w:b w:val="0"/>
          <w:i w:val="0"/>
          <w:color w:val="5F6C78"/>
          <w:sz w:val="17"/>
        </w:rPr>
        <w:t>Finish with the information needed to structure the first conversation.</w:t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PLT-06</w:t>
      </w:r>
      <w:r>
        <w:rPr>
          <w:rFonts w:ascii="Calibri" w:hAnsi="Calibri"/>
          <w:b/>
          <w:i w:val="0"/>
          <w:color w:val="0F1C2E"/>
          <w:sz w:val="19"/>
        </w:rPr>
        <w:t xml:space="preserve">  Which measures should determine pilot success?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Time saved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Process-step accuracy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Swimlane / phase accuracy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Risk/control mapping quality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Reduced manual rework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User satisfaction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PLT-07</w:t>
      </w:r>
      <w:r>
        <w:rPr>
          <w:rFonts w:ascii="Calibri" w:hAnsi="Calibri"/>
          <w:b/>
          <w:i w:val="0"/>
          <w:color w:val="0F1C2E"/>
          <w:sz w:val="19"/>
        </w:rPr>
        <w:t xml:space="preserve">  What result would justify a broader rollout or paid agreement?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90" w:type="dxa"/>
              <w:start w:w="120" w:type="dxa"/>
              <w:bottom w:w="210" w:type="dxa"/>
              <w:end w:w="12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COM-01  Target decision date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COM-02  Target pilot start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  <w:tr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COM-03  Procurement owner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COM-04  Preferred follow-up method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COM-05</w:t>
      </w:r>
      <w:r>
        <w:rPr>
          <w:rFonts w:ascii="Calibri" w:hAnsi="Calibri"/>
          <w:b/>
          <w:i w:val="0"/>
          <w:color w:val="0F1C2E"/>
          <w:sz w:val="19"/>
        </w:rPr>
        <w:t xml:space="preserve">  Optional pilot budget range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Under $5,000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$5,000-$15,000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$15,000-$30,000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Above $30,000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Not determined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Prefer to discuss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COM-06</w:t>
      </w:r>
      <w:r>
        <w:rPr>
          <w:rFonts w:ascii="Calibri" w:hAnsi="Calibri"/>
          <w:b/>
          <w:i w:val="0"/>
          <w:color w:val="0F1C2E"/>
          <w:sz w:val="19"/>
        </w:rPr>
        <w:t xml:space="preserve">  Which steps may be required to begin?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Vendor setup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Purchase order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NDA / contract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Security review</w:t>
            </w:r>
          </w:p>
        </w:tc>
      </w:tr>
      <w:tr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Privacy review</w:t>
            </w:r>
          </w:p>
        </w:tc>
        <w:tc>
          <w:tcPr>
            <w:tcW w:type="dxa" w:w="4680"/>
            <w:shd w:fill="FFFFFF"/>
            <w:tcBorders>
              <w:top w:val="single" w:sz="4" w:color="D4D0C7"/>
              <w:left w:val="single" w:sz="4" w:color="D4D0C7"/>
              <w:bottom w:val="single" w:sz="4" w:color="D4D0C7"/>
              <w:right w:val="single" w:sz="4" w:color="D4D0C7"/>
              <w:insideH w:val="single" w:sz="4" w:color="D4D0C7"/>
              <w:insideV w:val="single" w:sz="4" w:color="D4D0C7"/>
            </w:tcBorders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 Not yet known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52" w:lineRule="auto"/>
      </w:pPr>
      <w:r>
        <w:rPr>
          <w:rFonts w:ascii="Calibri" w:hAnsi="Calibri"/>
          <w:b/>
          <w:i w:val="0"/>
          <w:color w:val="01696F"/>
          <w:sz w:val="16"/>
        </w:rPr>
        <w:t>COM-07</w:t>
      </w:r>
      <w:r>
        <w:rPr>
          <w:rFonts w:ascii="Calibri" w:hAnsi="Calibri"/>
          <w:b/>
          <w:i w:val="0"/>
          <w:color w:val="0F1C2E"/>
          <w:sz w:val="19"/>
        </w:rPr>
        <w:t xml:space="preserve">  What should we address in the discovery conversation?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90" w:type="dxa"/>
              <w:start w:w="120" w:type="dxa"/>
              <w:bottom w:w="210" w:type="dxa"/>
              <w:end w:w="120" w:type="dxa"/>
            </w:tcMar>
          </w:tcPr>
          <w:p>
            <w:pPr>
              <w:keepNext w:val="0"/>
              <w:spacing w:before="0" w:after="0" w:line="252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/>
        <w:spacing w:before="80" w:after="40" w:line="240" w:lineRule="auto"/>
      </w:pPr>
      <w:r>
        <w:rPr>
          <w:rFonts w:ascii="Calibri" w:hAnsi="Calibri"/>
          <w:b/>
          <w:i w:val="0"/>
          <w:color w:val="0F1C2E"/>
          <w:sz w:val="32"/>
        </w:rPr>
        <w:t>08  Submission</w:t>
      </w:r>
    </w:p>
    <w:p>
      <w:pPr>
        <w:keepNext/>
        <w:spacing w:before="0" w:after="160" w:line="240" w:lineRule="auto"/>
      </w:pPr>
      <w:r>
        <w:rPr>
          <w:rFonts w:ascii="Calibri" w:hAnsi="Calibri"/>
          <w:b w:val="0"/>
          <w:i w:val="0"/>
          <w:color w:val="5F6C78"/>
          <w:sz w:val="17"/>
        </w:rPr>
        <w:t>Save and email only this completed intake.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SUB-01  Completed by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  <w:tc>
          <w:tcPr>
            <w:tcW w:type="dxa" w:w="4680"/>
            <w:shd w:fill="F7F6F2"/>
            <w:tcBorders>
              <w:top w:val="single" w:sz="6" w:color="D4D0C7"/>
              <w:left w:val="single" w:sz="6" w:color="D4D0C7"/>
              <w:bottom w:val="single" w:sz="6" w:color="D4D0C7"/>
              <w:right w:val="single" w:sz="6" w:color="D4D0C7"/>
              <w:insideH w:val="single" w:sz="6" w:color="D4D0C7"/>
              <w:insideV w:val="single" w:sz="6" w:color="D4D0C7"/>
            </w:tcBorders>
            <w:tcMar>
              <w:top w:w="85" w:type="dxa"/>
              <w:start w:w="120" w:type="dxa"/>
              <w:bottom w:w="105" w:type="dxa"/>
              <w:end w:w="120" w:type="dxa"/>
            </w:tcMar>
          </w:tcPr>
          <w:p>
            <w:pPr>
              <w:keepNext w:val="0"/>
              <w:spacing w:before="0" w:after="6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SUB-02  Completion date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/>
                <w:color w:val="5F6C78"/>
                <w:sz w:val="17"/>
              </w:rPr>
              <w:t>Type response here.</w:t>
            </w:r>
          </w:p>
        </w:tc>
      </w:tr>
    </w:tbl>
    <w:p>
      <w:pPr>
        <w:keepNext w:val="0"/>
        <w:spacing w:before="0" w:after="2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7F1EE"/>
            <w:tcBorders>
              <w:top w:val="single" w:sz="9" w:color="01696F"/>
              <w:left w:val="single" w:sz="9" w:color="01696F"/>
              <w:bottom w:val="single" w:sz="9" w:color="01696F"/>
              <w:right w:val="single" w:sz="9" w:color="01696F"/>
              <w:insideH w:val="single" w:sz="9" w:color="01696F"/>
              <w:insideV w:val="single" w:sz="9" w:color="01696F"/>
            </w:tcBorders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Calibri" w:hAnsi="Calibri"/>
                <w:b/>
                <w:i w:val="0"/>
                <w:color w:val="01696F"/>
                <w:sz w:val="16"/>
              </w:rPr>
              <w:t>SUBMISSION CHECKLIST</w:t>
            </w:r>
          </w:p>
          <w:p>
            <w:pPr>
              <w:keepNext w:val="0"/>
              <w:spacing w:before="0" w:after="0" w:line="252" w:lineRule="auto"/>
            </w:pPr>
            <w:r>
              <w:rPr>
                <w:rFonts w:ascii="Calibri" w:hAnsi="Calibri"/>
                <w:b w:val="0"/>
                <w:i w:val="0"/>
                <w:color w:val="0F1C2E"/>
                <w:sz w:val="17"/>
              </w:rPr>
              <w:t>☐ Responses are complete enough for an initial review.</w:t>
              <w:br/>
              <w:t>☐ No source files or sensitive attachments are included.</w:t>
              <w:br/>
              <w:t>☐ Save as 'Organization Name - ProcessGround Business Pilot Intake.docx'.</w:t>
              <w:br/>
              <w:t>☐ Email the completed intake to kevin@processground.com.</w:t>
            </w:r>
          </w:p>
        </w:tc>
      </w:tr>
    </w:tbl>
    <w:p>
      <w:pPr>
        <w:keepNext w:val="0"/>
        <w:spacing w:before="0" w:after="40" w:line="252" w:lineRule="auto"/>
      </w:pPr>
      <w:r>
        <w:rPr>
          <w:rFonts w:ascii="Calibri" w:hAnsi="Calibri"/>
          <w:b w:val="0"/>
          <w:i w:val="0"/>
          <w:color w:val="0F1C2E"/>
          <w:sz w:val="19"/>
        </w:rPr>
      </w:r>
    </w:p>
    <w:p>
      <w:pPr>
        <w:keepNext w:val="0"/>
        <w:spacing w:before="0" w:after="40" w:line="252" w:lineRule="auto"/>
      </w:pPr>
      <w:r>
        <w:rPr>
          <w:rFonts w:ascii="Calibri" w:hAnsi="Calibri"/>
          <w:b w:val="0"/>
          <w:i w:val="0"/>
          <w:color w:val="0F1C2E"/>
          <w:sz w:val="19"/>
        </w:rPr>
        <w:t>This intake supports discovery only and creates no purchase commitment. Any pilot scope, pricing, deliverables, usage, support, security terms, or product changes will be documented separately in writing.</w:t>
      </w:r>
    </w:p>
    <w:sectPr w:rsidR="00FC693F" w:rsidRPr="0006063C" w:rsidSect="00034616">
      <w:headerReference w:type="default" r:id="rId9"/>
      <w:footerReference w:type="default" r:id="rId10"/>
      <w:headerReference w:type="even" r:id="rId13"/>
      <w:footerReference w:type="even" r:id="rId14"/>
      <w:pgSz w:w="12240" w:h="15840"/>
      <w:pgMar w:top="979" w:right="1440" w:bottom="893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137160" cy="137160"/>
          <wp:docPr id="1" name="Picture 1" descr="ProcessGround Grounded Path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7160" cy="137160"/>
                  </a:xfrm>
                  <a:prstGeom prst="rect"/>
                </pic:spPr>
              </pic:pic>
            </a:graphicData>
          </a:graphic>
        </wp:inline>
      </w:drawing>
      <w:t xml:space="preserve">  </w:t>
    </w:r>
    <w:r>
      <w:rPr>
        <w:rFonts w:ascii="Calibri" w:hAnsi="Calibri"/>
        <w:color w:val="5F6C78"/>
        <w:sz w:val="16"/>
      </w:rPr>
      <w:t xml:space="preserve">ProcessGround  |  Cinder Coach LLC  |  Page </w:t>
    </w:r>
    <w:r>
      <w:rPr>
        <w:rFonts w:ascii="Calibri" w:hAnsi="Calibri"/>
        <w:color w:val="5F6C78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360" w:val="left"/>
      </w:tabs>
      <w:spacing w:before="0" w:after="0"/>
      <w:jc w:val="left"/>
    </w:pPr>
    <w:r>
      <w:drawing>
        <wp:inline xmlns:a="http://schemas.openxmlformats.org/drawingml/2006/main" xmlns:pic="http://schemas.openxmlformats.org/drawingml/2006/picture">
          <wp:extent cx="137160" cy="137160"/>
          <wp:docPr id="1" name="Picture 1" descr="ProcessGround Grounded Path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" cy="137160"/>
                  </a:xfrm>
                  <a:prstGeom prst="rect"/>
                </pic:spPr>
              </pic:pic>
            </a:graphicData>
          </a:graphic>
        </wp:inline>
      </w:drawing>
      <w:t xml:space="preserve">  </w:t>
    </w:r>
    <w:r>
      <w:rPr>
        <w:rFonts w:ascii="Calibri" w:hAnsi="Calibri"/>
        <w:color w:val="5F6C78"/>
        <w:sz w:val="16"/>
      </w:rPr>
      <w:t>ProcessGround  |  Cinder Coach LLC  |  kevin@processground.com</w:t>
    </w:r>
    <w:r>
      <w:rPr>
        <w:rFonts w:ascii="Calibri" w:hAnsi="Calibri"/>
        <w:color w:val="5F6C78"/>
        <w:sz w:val="16"/>
      </w:rPr>
      <w:tab/>
      <w:t xml:space="preserve">Page </w:t>
    </w:r>
    <w:r>
      <w:rPr>
        <w:rFonts w:ascii="Calibri" w:hAnsi="Calibri"/>
        <w:color w:val="5F6C78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drawing>
        <wp:inline xmlns:a="http://schemas.openxmlformats.org/drawingml/2006/main" xmlns:pic="http://schemas.openxmlformats.org/drawingml/2006/picture">
          <wp:extent cx="137160" cy="137160"/>
          <wp:docPr id="1" name="Picture 1" descr="ProcessGround Grounded Path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" cy="137160"/>
                  </a:xfrm>
                  <a:prstGeom prst="rect"/>
                </pic:spPr>
              </pic:pic>
            </a:graphicData>
          </a:graphic>
        </wp:inline>
      </w:drawing>
      <w:t xml:space="preserve">  </w:t>
    </w:r>
    <w:r>
      <w:rPr>
        <w:rFonts w:ascii="Calibri" w:hAnsi="Calibri"/>
        <w:color w:val="5F6C78"/>
        <w:sz w:val="16"/>
      </w:rPr>
      <w:t xml:space="preserve">ProcessGround  |  Cinder Coach LLC  |  Page </w:t>
    </w:r>
    <w:r>
      <w:rPr>
        <w:rFonts w:ascii="Calibri" w:hAnsi="Calibri"/>
        <w:color w:val="5F6C78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tabs>
        <w:tab w:pos="9360" w:val="right"/>
      </w:tabs>
      <w:spacing w:before="0" w:after="0" w:line="240" w:lineRule="auto"/>
      <w:jc w:val="left"/>
    </w:pPr>
    <w:r>
      <w:drawing>
        <wp:inline xmlns:a="http://schemas.openxmlformats.org/drawingml/2006/main" xmlns:pic="http://schemas.openxmlformats.org/drawingml/2006/picture">
          <wp:extent cx="246888" cy="246888"/>
          <wp:docPr id="1" name="Picture 1" descr="ProcessGround Grounded Path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888" cy="24688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b/>
        <w:color w:val="01696F"/>
        <w:sz w:val="16"/>
      </w:rPr>
      <w:t xml:space="preserve">  PROCESSGROUND  |  BUSINESS PILOT</w:t>
    </w:r>
    <w:r>
      <w:rPr>
        <w:rFonts w:ascii="Calibri" w:hAnsi="Calibri"/>
        <w:b/>
        <w:color w:val="5F6C78"/>
        <w:sz w:val="15"/>
      </w:rPr>
      <w:tab/>
      <w:t>CONFIDENTIAL WHEN COMPLETED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left"/>
      </w:tabs>
      <w:spacing w:before="0" w:after="0"/>
      <w:jc w:val="left"/>
    </w:pPr>
    <w:r>
      <w:drawing>
        <wp:inline xmlns:a="http://schemas.openxmlformats.org/drawingml/2006/main" xmlns:pic="http://schemas.openxmlformats.org/drawingml/2006/picture">
          <wp:extent cx="246888" cy="246888"/>
          <wp:docPr id="1" name="Picture 1" descr="ProcessGround Grounded Path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888" cy="24688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b/>
        <w:color w:val="01696F"/>
        <w:sz w:val="16"/>
      </w:rPr>
      <w:t xml:space="preserve">  PROCESSGROUND  |  BUSINESS PILOT</w:t>
    </w:r>
    <w:r>
      <w:rPr>
        <w:rFonts w:ascii="Calibri" w:hAnsi="Calibri"/>
        <w:b/>
        <w:color w:val="5F6C78"/>
        <w:sz w:val="15"/>
      </w:rPr>
      <w:tab/>
      <w:t>CONFIDENTIAL WHEN COMPLETED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60" w:val="right"/>
      </w:tabs>
      <w:spacing w:before="0" w:after="0"/>
      <w:jc w:val="left"/>
    </w:pPr>
    <w:r>
      <w:drawing>
        <wp:inline xmlns:a="http://schemas.openxmlformats.org/drawingml/2006/main" xmlns:pic="http://schemas.openxmlformats.org/drawingml/2006/picture">
          <wp:extent cx="246888" cy="246888"/>
          <wp:docPr id="1" name="Picture 1" descr="ProcessGround Grounded Path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6888" cy="24688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/>
        <w:b/>
        <w:color w:val="01696F"/>
        <w:sz w:val="16"/>
      </w:rPr>
      <w:t xml:space="preserve">  PROCESSGROUND  |  BUSINESS PILOT</w:t>
    </w:r>
    <w:r>
      <w:rPr>
        <w:rFonts w:ascii="Calibri" w:hAnsi="Calibri"/>
        <w:b/>
        <w:color w:val="5F6C78"/>
        <w:sz w:val="15"/>
      </w:rPr>
      <w:tab/>
      <w:t>CONFIDENTIAL WHEN COMPLETED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0F1C2E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ProcessGround Business Pilot Intake</dc:title>
  <dc:subject>Organizational process-mapping pilot qualification intake</dc:subject>
  <dc:creator>ProcessGround</dc:creator>
  <cp:keywords>ProcessGround, business pilot, process mapping, intake</cp:keywords>
  <dc:description>Complete and email to kevin@processground.com. Do not attach source documents.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